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590"/>
        <w:gridCol w:w="8165"/>
      </w:tblGrid>
      <w:tr w:rsidR="007C3AE4"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3AE4" w:rsidRDefault="005A7E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Название курса</w:t>
            </w:r>
          </w:p>
        </w:tc>
        <w:tc>
          <w:tcPr>
            <w:tcW w:w="8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3AE4" w:rsidRDefault="005A7E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Основы безопасности жизнедеятельности</w:t>
            </w:r>
          </w:p>
        </w:tc>
      </w:tr>
      <w:tr w:rsidR="007C3AE4"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3AE4" w:rsidRDefault="005A7E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8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3AE4" w:rsidRDefault="005A7E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 класс</w:t>
            </w:r>
          </w:p>
        </w:tc>
      </w:tr>
      <w:tr w:rsidR="007C3AE4"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3AE4" w:rsidRDefault="005A7E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часов (в год)</w:t>
            </w:r>
          </w:p>
        </w:tc>
        <w:tc>
          <w:tcPr>
            <w:tcW w:w="8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3AE4" w:rsidRDefault="005A7E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1 час  в неделю, 35часов</w:t>
            </w:r>
          </w:p>
        </w:tc>
      </w:tr>
      <w:tr w:rsidR="007C3AE4"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3AE4" w:rsidRDefault="005A7E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УМК</w:t>
            </w:r>
          </w:p>
        </w:tc>
        <w:tc>
          <w:tcPr>
            <w:tcW w:w="8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3AE4" w:rsidRDefault="005A7E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А.Т. Смирнов,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Б.О.Хренников</w:t>
            </w:r>
            <w:proofErr w:type="spellEnd"/>
          </w:p>
        </w:tc>
      </w:tr>
      <w:tr w:rsidR="007C3AE4"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3AE4" w:rsidRDefault="005A7E5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8"/>
              </w:rPr>
              <w:t>Составитель</w:t>
            </w:r>
          </w:p>
        </w:tc>
        <w:tc>
          <w:tcPr>
            <w:tcW w:w="8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3AE4" w:rsidRDefault="005A7E5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Доянова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И.В.</w:t>
            </w:r>
          </w:p>
        </w:tc>
      </w:tr>
      <w:tr w:rsidR="007C3AE4"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3AE4" w:rsidRDefault="005A7E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Утверждена</w:t>
            </w:r>
          </w:p>
        </w:tc>
        <w:tc>
          <w:tcPr>
            <w:tcW w:w="8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3AE4" w:rsidRDefault="005A7E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.08.2017 года</w:t>
            </w:r>
          </w:p>
        </w:tc>
      </w:tr>
      <w:tr w:rsidR="007C3AE4"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3AE4" w:rsidRDefault="005A7E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Цели и задачи курса</w:t>
            </w:r>
          </w:p>
        </w:tc>
        <w:tc>
          <w:tcPr>
            <w:tcW w:w="8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3AE4" w:rsidRDefault="005A7E5E">
            <w:pPr>
              <w:shd w:val="clear" w:color="auto" w:fill="FFFFFF"/>
              <w:tabs>
                <w:tab w:val="left" w:pos="576"/>
              </w:tabs>
              <w:spacing w:after="0" w:line="240" w:lineRule="auto"/>
              <w:ind w:left="576" w:right="14" w:firstLine="571"/>
              <w:jc w:val="both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•</w:t>
            </w:r>
            <w:r>
              <w:rPr>
                <w:rFonts w:ascii="Times New Roman" w:hAnsi="Times New Roman"/>
                <w:sz w:val="24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освоение знаний </w:t>
            </w:r>
            <w:r>
              <w:rPr>
                <w:rFonts w:ascii="Times New Roman" w:hAnsi="Times New Roman"/>
                <w:sz w:val="24"/>
                <w:szCs w:val="28"/>
              </w:rPr>
              <w:t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</w:t>
            </w:r>
            <w:r>
              <w:rPr>
                <w:rFonts w:ascii="Times New Roman" w:hAnsi="Times New Roman"/>
                <w:sz w:val="24"/>
                <w:szCs w:val="28"/>
              </w:rPr>
              <w:t>ных ситуаций; об обязанностях граждан по защите государства;</w:t>
            </w:r>
          </w:p>
          <w:p w:rsidR="007C3AE4" w:rsidRDefault="005A7E5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6"/>
              </w:tabs>
              <w:spacing w:after="0" w:line="240" w:lineRule="auto"/>
              <w:ind w:left="576" w:right="19" w:firstLine="57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воспитание </w:t>
            </w:r>
            <w:r>
              <w:rPr>
                <w:rFonts w:ascii="Times New Roman" w:hAnsi="Times New Roman"/>
                <w:sz w:val="24"/>
                <w:szCs w:val="28"/>
              </w:rPr>
              <w:t>ценностного отношения к здоровью и человеческой жизни; чувства уважения к героическому наследию Росс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государственной символике, патриотизма и долга по защите Отечества;</w:t>
            </w:r>
          </w:p>
          <w:p w:rsidR="007C3AE4" w:rsidRDefault="005A7E5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6"/>
              </w:tabs>
              <w:spacing w:after="0" w:line="240" w:lineRule="auto"/>
              <w:ind w:left="576" w:right="19" w:firstLine="57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</w:t>
            </w:r>
          </w:p>
          <w:p w:rsidR="007C3AE4" w:rsidRDefault="005A7E5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6"/>
              </w:tabs>
              <w:spacing w:after="0" w:line="240" w:lineRule="auto"/>
              <w:ind w:left="576" w:right="14" w:firstLine="571"/>
              <w:jc w:val="both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овладение умениями </w:t>
            </w:r>
            <w:r>
              <w:rPr>
                <w:rFonts w:ascii="Times New Roman" w:hAnsi="Times New Roman"/>
                <w:sz w:val="24"/>
                <w:szCs w:val="28"/>
              </w:rPr>
              <w:t>оценивать ситуации, опасные для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      </w:r>
          </w:p>
        </w:tc>
      </w:tr>
      <w:tr w:rsidR="007C3AE4"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3AE4" w:rsidRDefault="005A7E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Структура курса</w:t>
            </w:r>
          </w:p>
        </w:tc>
        <w:tc>
          <w:tcPr>
            <w:tcW w:w="8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tbl>
            <w:tblPr>
              <w:tblW w:w="7939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7939"/>
            </w:tblGrid>
            <w:tr w:rsidR="007C3AE4">
              <w:tc>
                <w:tcPr>
                  <w:tcW w:w="79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C3AE4" w:rsidRDefault="005A7E5E">
                  <w:pPr>
                    <w:tabs>
                      <w:tab w:val="left" w:pos="2235"/>
                    </w:tabs>
                    <w:spacing w:after="0" w:line="240" w:lineRule="auto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>Модуль 1. Основы безопасности личности, общества и государства (28ч)</w:t>
                  </w:r>
                </w:p>
              </w:tc>
            </w:tr>
            <w:tr w:rsidR="007C3AE4">
              <w:tc>
                <w:tcPr>
                  <w:tcW w:w="79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C3AE4" w:rsidRDefault="005A7E5E">
                  <w:pPr>
                    <w:tabs>
                      <w:tab w:val="left" w:pos="2235"/>
                    </w:tabs>
                    <w:spacing w:after="0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 xml:space="preserve">Раздел 1. Основы комплексной безопасности (16) </w:t>
                  </w:r>
                </w:p>
              </w:tc>
            </w:tr>
            <w:tr w:rsidR="007C3AE4">
              <w:tc>
                <w:tcPr>
                  <w:tcW w:w="79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C3AE4" w:rsidRDefault="005A7E5E">
                  <w:pPr>
                    <w:tabs>
                      <w:tab w:val="left" w:pos="2235"/>
                    </w:tabs>
                    <w:spacing w:after="0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>Раздел 2. Защита населения РФ от ЧС (8ч)</w:t>
                  </w:r>
                </w:p>
              </w:tc>
            </w:tr>
            <w:tr w:rsidR="007C3AE4">
              <w:tc>
                <w:tcPr>
                  <w:tcW w:w="79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C3AE4" w:rsidRDefault="005A7E5E">
                  <w:pPr>
                    <w:tabs>
                      <w:tab w:val="left" w:pos="2235"/>
                    </w:tabs>
                    <w:spacing w:after="0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 xml:space="preserve"> Общие понятия об опасных и чрезвычайных ситуациях природного характера (3ч)</w:t>
                  </w:r>
                </w:p>
              </w:tc>
            </w:tr>
            <w:tr w:rsidR="007C3AE4">
              <w:tc>
                <w:tcPr>
                  <w:tcW w:w="79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C3AE4" w:rsidRDefault="005A7E5E">
                  <w:pPr>
                    <w:tabs>
                      <w:tab w:val="left" w:pos="2235"/>
                    </w:tabs>
                    <w:spacing w:after="0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 xml:space="preserve"> ЧС геологического происхождения, защита населения (6ч)</w:t>
                  </w:r>
                </w:p>
              </w:tc>
            </w:tr>
            <w:tr w:rsidR="007C3AE4">
              <w:tc>
                <w:tcPr>
                  <w:tcW w:w="79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C3AE4" w:rsidRDefault="005A7E5E">
                  <w:pPr>
                    <w:tabs>
                      <w:tab w:val="left" w:pos="2235"/>
                    </w:tabs>
                    <w:spacing w:after="0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 xml:space="preserve">ЧС метеорологического </w:t>
                  </w:r>
                  <w:r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>происхождения, защита населения (3ч)</w:t>
                  </w:r>
                </w:p>
              </w:tc>
            </w:tr>
            <w:tr w:rsidR="007C3AE4">
              <w:tc>
                <w:tcPr>
                  <w:tcW w:w="793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C3AE4" w:rsidRDefault="005A7E5E">
                  <w:pPr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ЧС гидрологического происхождения, защита населения.  (8ч)</w:t>
                  </w:r>
                </w:p>
              </w:tc>
            </w:tr>
            <w:tr w:rsidR="007C3AE4">
              <w:tc>
                <w:tcPr>
                  <w:tcW w:w="793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C3AE4" w:rsidRDefault="005A7E5E">
                  <w:pPr>
                    <w:pStyle w:val="aa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Природные пожары и ЧС биолого-социального происхождения, защита населения (4ч)</w:t>
                  </w:r>
                </w:p>
              </w:tc>
            </w:tr>
            <w:tr w:rsidR="007C3AE4">
              <w:tc>
                <w:tcPr>
                  <w:tcW w:w="793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C3AE4" w:rsidRDefault="005A7E5E">
                  <w:pPr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Раздел 3. Основы противодействия терроризму и экстремизму в РФ (4ч)</w:t>
                  </w:r>
                </w:p>
                <w:p w:rsidR="007C3AE4" w:rsidRDefault="005A7E5E">
                  <w:pPr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Духовно-нравственные основы противодействия терроризму и экстремизму (4ч)</w:t>
                  </w:r>
                </w:p>
              </w:tc>
            </w:tr>
            <w:tr w:rsidR="007C3AE4">
              <w:tc>
                <w:tcPr>
                  <w:tcW w:w="793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C3AE4" w:rsidRDefault="005A7E5E">
                  <w:pPr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Модуль 2 основы медицинских знаний и здорового образа жизни (10ч)</w:t>
                  </w:r>
                </w:p>
                <w:p w:rsidR="007C3AE4" w:rsidRDefault="005A7E5E">
                  <w:pPr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Раздел 4. Основы здорового образа жизни (3ч)</w:t>
                  </w:r>
                </w:p>
                <w:p w:rsidR="007C3AE4" w:rsidRDefault="005A7E5E">
                  <w:pPr>
                    <w:tabs>
                      <w:tab w:val="left" w:pos="2235"/>
                    </w:tabs>
                    <w:spacing w:after="0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Здоровый образ жизни и его значение для гармоничного развития человека</w:t>
                  </w: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 xml:space="preserve"> (3ч)</w:t>
                  </w:r>
                </w:p>
              </w:tc>
            </w:tr>
            <w:tr w:rsidR="007C3AE4">
              <w:tc>
                <w:tcPr>
                  <w:tcW w:w="793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C3AE4" w:rsidRDefault="007C3AE4">
                  <w:pPr>
                    <w:rPr>
                      <w:b/>
                      <w:i/>
                      <w:iCs/>
                      <w:sz w:val="24"/>
                      <w:szCs w:val="24"/>
                    </w:rPr>
                  </w:pPr>
                </w:p>
                <w:p w:rsidR="007C3AE4" w:rsidRDefault="005A7E5E">
                  <w:pPr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Раздел 5.Основы медицинских знаний и оказание первой помощи (4ч)</w:t>
                  </w:r>
                </w:p>
                <w:p w:rsidR="007C3AE4" w:rsidRDefault="005A7E5E">
                  <w:pPr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 xml:space="preserve"> Первая помощь при неотложных состояниях (4ч)</w:t>
                  </w:r>
                </w:p>
              </w:tc>
            </w:tr>
          </w:tbl>
          <w:p w:rsidR="007C3AE4" w:rsidRDefault="007C3A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</w:tr>
      <w:tr w:rsidR="007C3AE4"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3AE4" w:rsidRDefault="005A7E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Формы, методы и технологии обучения</w:t>
            </w:r>
          </w:p>
        </w:tc>
        <w:tc>
          <w:tcPr>
            <w:tcW w:w="8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3AE4" w:rsidRDefault="005A7E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Применение игровой деятельности на уроках ОБЖ является важным методическим средством для развития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творческих способностей детей школьного возраста.  Успешному достижению воспитательных целей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способствует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прежде всего такая инновационная технология, как технология сотрудничества, позволяющая проявлять демократизм, равенство и партнерство в отношениях уч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ителя и ученика. Также на уроках используются информационные технологии  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технологии.</w:t>
            </w:r>
          </w:p>
          <w:p w:rsidR="007C3AE4" w:rsidRDefault="005A7E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Уро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викторина, урок-игра, урок-беседа, урок-исследование.</w:t>
            </w:r>
          </w:p>
        </w:tc>
      </w:tr>
      <w:tr w:rsidR="007C3AE4"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3AE4" w:rsidRDefault="005A7E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Формы контроля</w:t>
            </w:r>
          </w:p>
        </w:tc>
        <w:tc>
          <w:tcPr>
            <w:tcW w:w="8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3AE4" w:rsidRDefault="005A7E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Контроль и оценка результатов освоения учебной дисциплины осуществляется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преподавателем в процессе проведения практических занятий, тестирования, а также выполнения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индивидуальных заданий, проектов, исследований.</w:t>
            </w:r>
          </w:p>
          <w:p w:rsidR="007C3AE4" w:rsidRDefault="007C3A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</w:tr>
    </w:tbl>
    <w:p w:rsidR="007C3AE4" w:rsidRDefault="007C3AE4"/>
    <w:sectPr w:rsidR="007C3AE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231"/>
    <w:multiLevelType w:val="multilevel"/>
    <w:tmpl w:val="60D8D1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416CC6"/>
    <w:multiLevelType w:val="multilevel"/>
    <w:tmpl w:val="8DDCA61C"/>
    <w:lvl w:ilvl="0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3AE4"/>
    <w:rsid w:val="005A7E5E"/>
    <w:rsid w:val="007C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F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paragraph" w:styleId="aa">
    <w:name w:val="List Paragraph"/>
    <w:basedOn w:val="a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434</Words>
  <Characters>2476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IRBIS</cp:lastModifiedBy>
  <cp:revision>8</cp:revision>
  <dcterms:created xsi:type="dcterms:W3CDTF">2017-09-08T17:03:00Z</dcterms:created>
  <dcterms:modified xsi:type="dcterms:W3CDTF">2017-10-26T18:50:00Z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