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590"/>
        <w:gridCol w:w="8165"/>
      </w:tblGrid>
      <w:tr w:rsidR="007C3AE4"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3AE4" w:rsidRDefault="005A7E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Название курса</w:t>
            </w:r>
          </w:p>
        </w:tc>
        <w:tc>
          <w:tcPr>
            <w:tcW w:w="8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3AE4" w:rsidRDefault="005A7E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Основы безопасности жизнедеятельности</w:t>
            </w:r>
          </w:p>
        </w:tc>
      </w:tr>
      <w:tr w:rsidR="007C3AE4"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3AE4" w:rsidRDefault="005A7E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</w:t>
            </w:r>
          </w:p>
        </w:tc>
        <w:tc>
          <w:tcPr>
            <w:tcW w:w="8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3AE4" w:rsidRDefault="005A7E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 класс</w:t>
            </w:r>
          </w:p>
        </w:tc>
      </w:tr>
      <w:tr w:rsidR="007C3AE4"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3AE4" w:rsidRDefault="005A7E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часов (в год)</w:t>
            </w:r>
          </w:p>
        </w:tc>
        <w:tc>
          <w:tcPr>
            <w:tcW w:w="8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3AE4" w:rsidRDefault="005A7E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1 час  в неделю, 35часов</w:t>
            </w:r>
          </w:p>
        </w:tc>
      </w:tr>
      <w:tr w:rsidR="007C3AE4"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3AE4" w:rsidRDefault="005A7E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Автор УМК</w:t>
            </w:r>
          </w:p>
        </w:tc>
        <w:tc>
          <w:tcPr>
            <w:tcW w:w="8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3AE4" w:rsidRDefault="005A7E5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А.Т. Смирнов,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Б.О.Хренников</w:t>
            </w:r>
            <w:proofErr w:type="spellEnd"/>
          </w:p>
        </w:tc>
      </w:tr>
      <w:tr w:rsidR="007C3AE4"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3AE4" w:rsidRDefault="005A7E5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>Составитель</w:t>
            </w:r>
          </w:p>
        </w:tc>
        <w:tc>
          <w:tcPr>
            <w:tcW w:w="8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3AE4" w:rsidRDefault="005A7E5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Доянова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И.В.</w:t>
            </w:r>
          </w:p>
        </w:tc>
      </w:tr>
      <w:tr w:rsidR="007C3AE4"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3AE4" w:rsidRDefault="005A7E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Утверждена</w:t>
            </w:r>
          </w:p>
        </w:tc>
        <w:tc>
          <w:tcPr>
            <w:tcW w:w="8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3AE4" w:rsidRDefault="005A7E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.08.2017 года</w:t>
            </w:r>
          </w:p>
        </w:tc>
      </w:tr>
      <w:tr w:rsidR="007C3AE4"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3AE4" w:rsidRDefault="005A7E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Цели и задачи курса</w:t>
            </w:r>
          </w:p>
        </w:tc>
        <w:tc>
          <w:tcPr>
            <w:tcW w:w="8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3AE4" w:rsidRDefault="005A7E5E">
            <w:pPr>
              <w:shd w:val="clear" w:color="auto" w:fill="FFFFFF"/>
              <w:tabs>
                <w:tab w:val="left" w:pos="576"/>
              </w:tabs>
              <w:spacing w:after="0" w:line="240" w:lineRule="auto"/>
              <w:ind w:left="576" w:right="14" w:firstLine="571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•</w:t>
            </w:r>
            <w:r>
              <w:rPr>
                <w:rFonts w:ascii="Times New Roman" w:hAnsi="Times New Roman"/>
                <w:sz w:val="24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освоение знаний </w:t>
            </w:r>
            <w:r>
              <w:rPr>
                <w:rFonts w:ascii="Times New Roman" w:hAnsi="Times New Roman"/>
                <w:sz w:val="24"/>
                <w:szCs w:val="28"/>
              </w:rPr>
      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</w:t>
            </w:r>
            <w:r>
              <w:rPr>
                <w:rFonts w:ascii="Times New Roman" w:hAnsi="Times New Roman"/>
                <w:sz w:val="24"/>
                <w:szCs w:val="28"/>
              </w:rPr>
              <w:t>ных ситуаций; об обязанностях граждан по защите государства;</w:t>
            </w:r>
          </w:p>
          <w:p w:rsidR="007C3AE4" w:rsidRDefault="005A7E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6"/>
              </w:tabs>
              <w:spacing w:after="0" w:line="240" w:lineRule="auto"/>
              <w:ind w:left="576" w:right="19" w:firstLine="57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воспитание </w:t>
            </w:r>
            <w:r>
              <w:rPr>
                <w:rFonts w:ascii="Times New Roman" w:hAnsi="Times New Roman"/>
                <w:sz w:val="24"/>
                <w:szCs w:val="28"/>
              </w:rPr>
              <w:t>ценностного отношения к здоровью и человеческой жизни; чувства уважения к героическому наследию Росс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ии и ее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государственной символике, патриотизма и долга по защите Отечества;</w:t>
            </w:r>
          </w:p>
          <w:p w:rsidR="007C3AE4" w:rsidRDefault="005A7E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6"/>
              </w:tabs>
              <w:spacing w:after="0" w:line="240" w:lineRule="auto"/>
              <w:ind w:left="576" w:right="19" w:firstLine="57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развитие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      </w:r>
          </w:p>
          <w:p w:rsidR="007C3AE4" w:rsidRDefault="005A7E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6"/>
              </w:tabs>
              <w:spacing w:after="0" w:line="240" w:lineRule="auto"/>
              <w:ind w:left="576" w:right="14" w:firstLine="571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овладение умениями </w:t>
            </w:r>
            <w:r>
              <w:rPr>
                <w:rFonts w:ascii="Times New Roman" w:hAnsi="Times New Roman"/>
                <w:sz w:val="24"/>
                <w:szCs w:val="28"/>
              </w:rPr>
              <w:t>оценивать ситуации, опасные для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      </w:r>
          </w:p>
        </w:tc>
      </w:tr>
      <w:tr w:rsidR="007C3AE4"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3AE4" w:rsidRDefault="005A7E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Структура курса</w:t>
            </w:r>
          </w:p>
        </w:tc>
        <w:tc>
          <w:tcPr>
            <w:tcW w:w="8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tbl>
            <w:tblPr>
              <w:tblW w:w="7939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7939"/>
            </w:tblGrid>
            <w:tr w:rsidR="007C3AE4">
              <w:tc>
                <w:tcPr>
                  <w:tcW w:w="79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C3AE4" w:rsidRDefault="005A7E5E">
                  <w:pPr>
                    <w:tabs>
                      <w:tab w:val="left" w:pos="2235"/>
                    </w:tabs>
                    <w:spacing w:after="0" w:line="240" w:lineRule="auto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>Модуль 1. Основы безопасности личности, общества и государства (28ч)</w:t>
                  </w:r>
                </w:p>
              </w:tc>
            </w:tr>
            <w:tr w:rsidR="007C3AE4">
              <w:tc>
                <w:tcPr>
                  <w:tcW w:w="79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C3AE4" w:rsidRDefault="005A7E5E">
                  <w:pPr>
                    <w:tabs>
                      <w:tab w:val="left" w:pos="2235"/>
                    </w:tabs>
                    <w:spacing w:after="0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 xml:space="preserve">Раздел 1. Основы комплексной безопасности (16) </w:t>
                  </w:r>
                </w:p>
              </w:tc>
            </w:tr>
            <w:tr w:rsidR="007C3AE4">
              <w:tc>
                <w:tcPr>
                  <w:tcW w:w="79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C3AE4" w:rsidRDefault="005A7E5E">
                  <w:pPr>
                    <w:tabs>
                      <w:tab w:val="left" w:pos="2235"/>
                    </w:tabs>
                    <w:spacing w:after="0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>Раздел 2. Защита населения РФ от ЧС (8ч)</w:t>
                  </w:r>
                </w:p>
              </w:tc>
            </w:tr>
            <w:tr w:rsidR="007C3AE4">
              <w:tc>
                <w:tcPr>
                  <w:tcW w:w="79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C3AE4" w:rsidRDefault="005A7E5E">
                  <w:pPr>
                    <w:tabs>
                      <w:tab w:val="left" w:pos="2235"/>
                    </w:tabs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 xml:space="preserve"> Общие понятия об опасных и чрезвычайных ситуациях природного характера (3ч)</w:t>
                  </w:r>
                </w:p>
              </w:tc>
            </w:tr>
            <w:tr w:rsidR="007C3AE4">
              <w:tc>
                <w:tcPr>
                  <w:tcW w:w="79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C3AE4" w:rsidRDefault="005A7E5E">
                  <w:pPr>
                    <w:tabs>
                      <w:tab w:val="left" w:pos="2235"/>
                    </w:tabs>
                    <w:spacing w:after="0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 xml:space="preserve"> ЧС геологического происхождения, защита населения (6ч)</w:t>
                  </w:r>
                </w:p>
              </w:tc>
            </w:tr>
            <w:tr w:rsidR="007C3AE4">
              <w:tc>
                <w:tcPr>
                  <w:tcW w:w="79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C3AE4" w:rsidRDefault="005A7E5E">
                  <w:pPr>
                    <w:tabs>
                      <w:tab w:val="left" w:pos="2235"/>
                    </w:tabs>
                    <w:spacing w:after="0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 xml:space="preserve">ЧС метеорологического </w:t>
                  </w:r>
                  <w:r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>происхождения, защита населения (3ч)</w:t>
                  </w:r>
                </w:p>
              </w:tc>
            </w:tr>
            <w:tr w:rsidR="007C3AE4">
              <w:tc>
                <w:tcPr>
                  <w:tcW w:w="7939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C3AE4" w:rsidRDefault="005A7E5E">
                  <w:pPr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/>
                      <w:iCs/>
                      <w:sz w:val="24"/>
                      <w:szCs w:val="24"/>
                    </w:rPr>
                    <w:t>ЧС гидрологического происхождения, защита населения.  (8ч)</w:t>
                  </w:r>
                </w:p>
              </w:tc>
            </w:tr>
            <w:tr w:rsidR="007C3AE4">
              <w:tc>
                <w:tcPr>
                  <w:tcW w:w="7939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C3AE4" w:rsidRDefault="005A7E5E">
                  <w:pPr>
                    <w:pStyle w:val="aa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/>
                      <w:iCs/>
                      <w:sz w:val="24"/>
                      <w:szCs w:val="24"/>
                    </w:rPr>
                    <w:t>Природные пожары и ЧС биолого-социального происхождения, защита населения (4ч)</w:t>
                  </w:r>
                </w:p>
              </w:tc>
            </w:tr>
            <w:tr w:rsidR="007C3AE4">
              <w:tc>
                <w:tcPr>
                  <w:tcW w:w="7939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C3AE4" w:rsidRDefault="005A7E5E">
                  <w:pPr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/>
                      <w:iCs/>
                      <w:sz w:val="24"/>
                      <w:szCs w:val="24"/>
                    </w:rPr>
                    <w:t>Раздел 3. Основы противодействия терроризму и экстремизму в РФ (4ч)</w:t>
                  </w:r>
                </w:p>
                <w:p w:rsidR="007C3AE4" w:rsidRDefault="005A7E5E">
                  <w:pPr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/>
                      <w:iCs/>
                      <w:sz w:val="24"/>
                      <w:szCs w:val="24"/>
                    </w:rPr>
                    <w:t>Духовно-нравственные основы противодействия терроризму и экстремизму (4ч)</w:t>
                  </w:r>
                </w:p>
              </w:tc>
            </w:tr>
            <w:tr w:rsidR="007C3AE4">
              <w:tc>
                <w:tcPr>
                  <w:tcW w:w="7939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C3AE4" w:rsidRDefault="005A7E5E">
                  <w:pPr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/>
                      <w:iCs/>
                      <w:sz w:val="24"/>
                      <w:szCs w:val="24"/>
                    </w:rPr>
                    <w:t>Модуль 2 основы медицинских знаний и здорового образа жизни (10ч)</w:t>
                  </w:r>
                </w:p>
                <w:p w:rsidR="007C3AE4" w:rsidRDefault="005A7E5E">
                  <w:pPr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/>
                      <w:iCs/>
                      <w:sz w:val="24"/>
                      <w:szCs w:val="24"/>
                    </w:rPr>
                    <w:t>Раздел 4. Основы здорового образа жизни (3ч)</w:t>
                  </w:r>
                </w:p>
                <w:p w:rsidR="007C3AE4" w:rsidRDefault="005A7E5E">
                  <w:pPr>
                    <w:tabs>
                      <w:tab w:val="left" w:pos="2235"/>
                    </w:tabs>
                    <w:spacing w:after="0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/>
                      <w:iCs/>
                      <w:sz w:val="24"/>
                      <w:szCs w:val="24"/>
                    </w:rPr>
                    <w:t>Здоровый образ жизни и его значение для гармоничного развития человека</w:t>
                  </w:r>
                  <w:r>
                    <w:rPr>
                      <w:b/>
                      <w:i/>
                      <w:iCs/>
                      <w:sz w:val="24"/>
                      <w:szCs w:val="24"/>
                    </w:rPr>
                    <w:t xml:space="preserve"> (3ч)</w:t>
                  </w:r>
                </w:p>
              </w:tc>
            </w:tr>
            <w:tr w:rsidR="007C3AE4">
              <w:tc>
                <w:tcPr>
                  <w:tcW w:w="7939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C3AE4" w:rsidRDefault="007C3AE4">
                  <w:pPr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7C3AE4" w:rsidRDefault="005A7E5E">
                  <w:pPr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/>
                      <w:iCs/>
                      <w:sz w:val="24"/>
                      <w:szCs w:val="24"/>
                    </w:rPr>
                    <w:t>Раздел 5.Основы медицинских знаний и оказание первой помощи (4ч)</w:t>
                  </w:r>
                </w:p>
                <w:p w:rsidR="007C3AE4" w:rsidRDefault="005A7E5E">
                  <w:pPr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/>
                      <w:iCs/>
                      <w:sz w:val="24"/>
                      <w:szCs w:val="24"/>
                    </w:rPr>
                    <w:t xml:space="preserve"> Первая помощь при неотложных состояниях (4ч)</w:t>
                  </w:r>
                </w:p>
              </w:tc>
            </w:tr>
          </w:tbl>
          <w:p w:rsidR="007C3AE4" w:rsidRDefault="007C3A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7C3AE4"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3AE4" w:rsidRDefault="005A7E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Формы, методы и технологии обучения</w:t>
            </w:r>
          </w:p>
        </w:tc>
        <w:tc>
          <w:tcPr>
            <w:tcW w:w="8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3AE4" w:rsidRDefault="005A7E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Применение игровой деятельности на уроках ОБЖ является важным методическим средством для развития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творческих способностей детей школьного возраста.  Успешному достижению воспитательных целей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способствует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прежде всего такая инновационная технология, как технология сотрудничества, позволяющая проявлять демократизм, равенство и партнерство в отношениях уч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ителя и ученика. Также на уроках используются информационные технологии  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технологии.</w:t>
            </w:r>
          </w:p>
          <w:p w:rsidR="007C3AE4" w:rsidRDefault="005A7E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Уро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викторина, урок-игра, урок-беседа, урок-исследование.</w:t>
            </w:r>
          </w:p>
        </w:tc>
      </w:tr>
      <w:tr w:rsidR="007C3AE4"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3AE4" w:rsidRDefault="005A7E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Формы контроля</w:t>
            </w:r>
          </w:p>
        </w:tc>
        <w:tc>
          <w:tcPr>
            <w:tcW w:w="8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3AE4" w:rsidRDefault="005A7E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Контроль и оценка результатов освоения учебной дисциплины осуществляется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преподавателем в процессе проведения практических занятий, тестирования, а также выполнения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индивидуальных заданий, проектов, исследований.</w:t>
            </w:r>
          </w:p>
          <w:p w:rsidR="007C3AE4" w:rsidRDefault="007C3A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</w:tbl>
    <w:p w:rsidR="007C3AE4" w:rsidRDefault="007C3AE4"/>
    <w:sectPr w:rsidR="007C3AE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231"/>
    <w:multiLevelType w:val="multilevel"/>
    <w:tmpl w:val="60D8D1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416CC6"/>
    <w:multiLevelType w:val="multilevel"/>
    <w:tmpl w:val="8DDCA61C"/>
    <w:lvl w:ilvl="0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3AE4"/>
    <w:rsid w:val="005A7E5E"/>
    <w:rsid w:val="007C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F0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paragraph" w:styleId="aa">
    <w:name w:val="List Paragraph"/>
    <w:basedOn w:val="a"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434</Words>
  <Characters>2476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IRBIS</cp:lastModifiedBy>
  <cp:revision>8</cp:revision>
  <dcterms:created xsi:type="dcterms:W3CDTF">2017-09-08T17:03:00Z</dcterms:created>
  <dcterms:modified xsi:type="dcterms:W3CDTF">2017-10-26T18:50:00Z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